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D" w:rsidRDefault="00C059EE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6969" w:rsidRDefault="00CA6969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6D722C" w:rsidRPr="0076048C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інформація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 курс</w:t>
      </w:r>
    </w:p>
    <w:p w:rsidR="0076048C" w:rsidRPr="00915B70" w:rsidRDefault="0076048C" w:rsidP="0076048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6A279D" w:rsidRDefault="00AB66C6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B66C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uk-UA"/>
              </w:rPr>
              <w:t>Історія зарубіжної журналістики</w:t>
            </w:r>
          </w:p>
          <w:p w:rsidR="00295B30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Волковинський Олександр Сергійович, доктор філологічних наук, професор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завідувач кафедри журналістики</w:t>
            </w:r>
            <w:r w:rsidR="00F5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564A1" w:rsidRPr="00915B70" w:rsidRDefault="00F564A1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http://journkaf.kpnu.edu.ua/</w:t>
            </w:r>
          </w:p>
        </w:tc>
      </w:tr>
      <w:tr w:rsidR="005A424D" w:rsidRPr="00F564A1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Default="00295B30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volkovynskyi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olexsandr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kpnu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F564A1" w:rsidRPr="00F564A1" w:rsidRDefault="00F564A1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24D" w:rsidRPr="00AB66C6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564A1" w:rsidRDefault="009A667E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https://moodle.kpnu.edu.ua/course/view.php?id=1669</w:t>
            </w: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6A279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https://drive.google.com/file/d/1niWfFdrhfzSM3oHw9Q4YbEY9oyH1IRDr/view?pli=1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6A279D">
      <w:pPr>
        <w:pageBreakBefore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B6BB9" w:rsidRDefault="002A263F" w:rsidP="00AB6BB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Вивчення </w:t>
      </w:r>
      <w:r w:rsidRPr="002A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дисципліни "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Історія зарубіжної журналістики"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покликане 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розкрити основоположні етапи розвитку журналістики в світі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минуло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сьогод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дати теоретичні знання про зарубіжну журналістику;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особливості функціонування ЗМІ та діяльності журналістів в окремих зарубіжних країнах; висвітлити історію і сучасний стан провідних зарубіжних періодичних видань, телекомпаній та інформаційних агентств.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Вивчення дисципліни "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Історія зарубіжної журналістики"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формує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студентів цілісн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закономірн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характер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зарубіжної журналістики;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удосконалює навички 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функціонування та вияснення своєрідності журналістики окремих країн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різн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історичн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етапах і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розкриття найважлив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особливостей розвитку ЗМІ та журналістської діяльності в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багатьох країнах 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сучасно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продукує у студентів уявлення про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особливост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зарубіжної журналістики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порівнянн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з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українською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журналістикою; встановл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ює взаємо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зв’язк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журналістики з 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фактами 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і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культурн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2A26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життя людства</w:t>
      </w:r>
      <w:r w:rsidR="00CB79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6048C" w:rsidRPr="002D3389" w:rsidRDefault="009A667E" w:rsidP="002D33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66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Дисципліна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"Історія зарубіжної журналістики</w:t>
      </w:r>
      <w:r w:rsidRPr="009A66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належить до обов'язкових компонентів. "Історія зарубіжної журналістики" в освітній програмі "Журналістика" знаходиться серед нормативних навчальних дисциплін у циклі "Дисципліни професійної підготовки".</w:t>
      </w: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</w:t>
      </w:r>
      <w:proofErr w:type="spellStart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</w:t>
      </w:r>
      <w:proofErr w:type="spellEnd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132D09" w:rsidRPr="009A667E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val="uk-UA"/>
        </w:rPr>
      </w:pPr>
    </w:p>
    <w:p w:rsidR="0076048C" w:rsidRDefault="009A667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</w:pP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Метою вивчення дисципліни "</w:t>
      </w:r>
      <w:r w:rsidRPr="009A667E">
        <w:rPr>
          <w:rFonts w:ascii="Times New Roman" w:eastAsia="Times New Roman" w:hAnsi="Times New Roman" w:cs="Times New Roman"/>
          <w:color w:val="000000"/>
          <w:sz w:val="28"/>
          <w:szCs w:val="16"/>
          <w:lang w:val="uk-UA"/>
        </w:rPr>
        <w:t>Історія зарубіжної журналістики"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є дослідження джерел виникнення і шляхів розвитку засобів масової інформації різних країн світу і формування системно-комплексних уявлень про світову журналістику як багатоплановий і динамічний феномен, взаємозв'язки між повсякденням і пов’язаним з ним минулого (через історичні події, процеси, відомі постаті).</w:t>
      </w:r>
    </w:p>
    <w:p w:rsidR="00E20F29" w:rsidRDefault="009A667E" w:rsidP="007D79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До цілей вивчення дисципліни належать: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вивчення   </w:t>
      </w:r>
      <w:r w:rsidR="002A263F"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основоположних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  етапів   </w:t>
      </w:r>
      <w:r w:rsidR="002A263F"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розвою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  зарубіжної   журналістики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і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видовими особливостями преси;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визначення  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рівню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впливу періодичних видань на суспільно-політичне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життя 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зарубіжних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країн;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формування системи 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термінологічно-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понятійного апарату;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виявлення спільного і </w:t>
      </w:r>
      <w:r w:rsidR="002A263F"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розбіжного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в розвитку преси і журналістики різних країн світу;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активне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знайомство з наявною джерельною та історіографічною базою для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 xml:space="preserve"> </w:t>
      </w:r>
      <w:r w:rsidRPr="009A667E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вивчення особливостей розвитку зарубіжної журналістики</w:t>
      </w:r>
      <w:r w:rsidR="002A263F">
        <w:rPr>
          <w:rFonts w:ascii="Times New Roman" w:eastAsia="Times New Roman" w:hAnsi="Times New Roman" w:cs="Times New Roman"/>
          <w:bCs/>
          <w:color w:val="000000"/>
          <w:sz w:val="28"/>
          <w:szCs w:val="16"/>
          <w:lang w:val="uk-UA"/>
        </w:rPr>
        <w:t>.</w:t>
      </w:r>
    </w:p>
    <w:p w:rsidR="00CB79E1" w:rsidRDefault="00CB79E1" w:rsidP="007D79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389" w:rsidRPr="002D3389" w:rsidRDefault="002D338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4DE" w:rsidRPr="002D3389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6048C" w:rsidRDefault="0076048C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D5CC7" w:rsidRDefault="002D338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48C" w:rsidRPr="0076048C" w:rsidRDefault="0076048C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</w:rPr>
      </w:pPr>
    </w:p>
    <w:p w:rsidR="009A667E" w:rsidRPr="009A667E" w:rsidRDefault="009A667E" w:rsidP="009A667E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sz w:val="28"/>
          <w:lang w:val="uk-UA"/>
        </w:rPr>
      </w:pPr>
      <w:r w:rsidRPr="009A667E">
        <w:rPr>
          <w:sz w:val="28"/>
          <w:lang w:val="uk-UA"/>
        </w:rPr>
        <w:t>Дисципліна «Історія зарубіжної журналістики» повинна дати студентам    усвідомлення шляхів  становлення і розвитку інституту преси в країнах світу; сформувати уявлення  про  основоположні  етапи    еволюції журналістики;  історії формування інституціональних  ознак журналістики.</w:t>
      </w:r>
    </w:p>
    <w:p w:rsidR="00884FB7" w:rsidRDefault="009A667E" w:rsidP="009A66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A667E">
        <w:rPr>
          <w:rFonts w:ascii="Times New Roman" w:hAnsi="Times New Roman" w:cs="Times New Roman"/>
          <w:sz w:val="28"/>
          <w:lang w:val="uk-UA"/>
        </w:rPr>
        <w:t xml:space="preserve">У результаті вивчення дисципліни "Історія зарубіжної журналістики" студенти вмітимуть: характеризувати специфіку різноманітних національних форм журналістики, процеси її формування у провідних зарубіжних країнах (Великобританія, Німеччина, США, Франція, Китай та ін.); розглядати різні типи зарубіжних засобів масової комунікації, історію діяльності чільних періодичних видань у різних країнах світу; характеризувати  місце  і  роль  ЗМІ    окремих  держав  у  загальному процесі </w:t>
      </w:r>
      <w:proofErr w:type="spellStart"/>
      <w:r w:rsidRPr="009A667E">
        <w:rPr>
          <w:rFonts w:ascii="Times New Roman" w:hAnsi="Times New Roman" w:cs="Times New Roman"/>
          <w:sz w:val="28"/>
          <w:lang w:val="uk-UA"/>
        </w:rPr>
        <w:t>історико-журналістського</w:t>
      </w:r>
      <w:proofErr w:type="spellEnd"/>
      <w:r w:rsidRPr="009A667E">
        <w:rPr>
          <w:rFonts w:ascii="Times New Roman" w:hAnsi="Times New Roman" w:cs="Times New Roman"/>
          <w:sz w:val="28"/>
          <w:lang w:val="uk-UA"/>
        </w:rPr>
        <w:t xml:space="preserve"> розвитку; поєднувати теоретичну і практичну  важливість  курсу  в  системі  журналістських дисциплін; долучатися  до  досвіду  всесвітньої  журналістики, знайомитись з головними її модифікаціями чи різновидами, типами видань і публікацій. Також вивчення дисципліни "Історія зарубіжної журналістики" сприятиме розширенню у студентів журналістського горизонту, поглиблюватиме уявлення про місце журналістики в суспільстві на різних етапах його розвитку.</w:t>
      </w:r>
    </w:p>
    <w:p w:rsidR="009A667E" w:rsidRPr="009A667E" w:rsidRDefault="009A667E" w:rsidP="009A66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66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дисципліни "Історія зарубіжної журналістики" дозволить оволодіти такими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компетентностями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9A667E" w:rsidRPr="009A667E" w:rsidRDefault="009A667E" w:rsidP="009A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667E">
        <w:rPr>
          <w:rFonts w:ascii="Times New Roman" w:hAnsi="Times New Roman" w:cs="Times New Roman"/>
          <w:bCs/>
          <w:sz w:val="28"/>
          <w:szCs w:val="28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  <w:lang w:val="uk-UA"/>
        </w:rPr>
        <w:t>ЗК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10);</w:t>
      </w:r>
    </w:p>
    <w:p w:rsidR="009A667E" w:rsidRPr="009A667E" w:rsidRDefault="009A667E" w:rsidP="009A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здатність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застосовувати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знання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сфери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A667E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9A667E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комунікацій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своїй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професійній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01);</w:t>
      </w:r>
    </w:p>
    <w:p w:rsidR="009A667E" w:rsidRPr="009A667E" w:rsidRDefault="009A667E" w:rsidP="009A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здатність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орієнтуватися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proofErr w:type="gramStart"/>
      <w:r w:rsidRPr="009A66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A667E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сферах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суспільства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об’єктом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висвітлення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комунікаційній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практиці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та з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якими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пов’язаний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тематичний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зміст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і проблематика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матеріалів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07);</w:t>
      </w:r>
    </w:p>
    <w:p w:rsidR="009A667E" w:rsidRPr="009A667E" w:rsidRDefault="009A667E" w:rsidP="009A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lastRenderedPageBreak/>
        <w:t>здатність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верифікувати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аналізувати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факти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13);</w:t>
      </w:r>
    </w:p>
    <w:p w:rsidR="009A667E" w:rsidRPr="009A667E" w:rsidRDefault="009A667E" w:rsidP="009A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виконувати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пошук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оброблення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аналіз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proofErr w:type="gramStart"/>
      <w:r w:rsidRPr="009A66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A667E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джерел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ПРН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04);</w:t>
      </w:r>
    </w:p>
    <w:p w:rsidR="009A667E" w:rsidRPr="009A667E" w:rsidRDefault="009A667E" w:rsidP="009A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використовувати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сучасні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інформаційні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комунікаційні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технології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Pr="009A667E">
        <w:rPr>
          <w:rFonts w:ascii="Times New Roman" w:hAnsi="Times New Roman" w:cs="Times New Roman"/>
          <w:bCs/>
          <w:sz w:val="28"/>
          <w:szCs w:val="28"/>
        </w:rPr>
        <w:t>спец</w:t>
      </w:r>
      <w:proofErr w:type="gramEnd"/>
      <w:r w:rsidRPr="009A667E">
        <w:rPr>
          <w:rFonts w:ascii="Times New Roman" w:hAnsi="Times New Roman" w:cs="Times New Roman"/>
          <w:bCs/>
          <w:sz w:val="28"/>
          <w:szCs w:val="28"/>
        </w:rPr>
        <w:t>іалізоване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програмне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завдань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ПРН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05);</w:t>
      </w:r>
    </w:p>
    <w:p w:rsidR="009A667E" w:rsidRPr="009A667E" w:rsidRDefault="009A667E" w:rsidP="009A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уміти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відбирати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готувати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міжнародні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новини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працювати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джерелами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міжнародної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за кордоном (</w:t>
      </w:r>
      <w:proofErr w:type="spellStart"/>
      <w:r w:rsidRPr="009A667E">
        <w:rPr>
          <w:rFonts w:ascii="Times New Roman" w:hAnsi="Times New Roman" w:cs="Times New Roman"/>
          <w:bCs/>
          <w:sz w:val="28"/>
          <w:szCs w:val="28"/>
        </w:rPr>
        <w:t>ПРН</w:t>
      </w:r>
      <w:proofErr w:type="spellEnd"/>
      <w:r w:rsidRPr="009A667E">
        <w:rPr>
          <w:rFonts w:ascii="Times New Roman" w:hAnsi="Times New Roman" w:cs="Times New Roman"/>
          <w:bCs/>
          <w:sz w:val="28"/>
          <w:szCs w:val="28"/>
        </w:rPr>
        <w:t xml:space="preserve"> 22).</w:t>
      </w:r>
    </w:p>
    <w:p w:rsidR="009A667E" w:rsidRPr="009A667E" w:rsidRDefault="009A667E" w:rsidP="009A66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C7" w:rsidRPr="00A951F7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ознаки</w:t>
      </w:r>
      <w:proofErr w:type="spellEnd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048C" w:rsidRPr="0076048C" w:rsidRDefault="00077271" w:rsidP="002D3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2E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7797"/>
      </w:tblGrid>
      <w:tr w:rsidR="00FC62FD" w:rsidRPr="00966850" w:rsidTr="003E7688">
        <w:trPr>
          <w:trHeight w:val="254"/>
        </w:trPr>
        <w:tc>
          <w:tcPr>
            <w:tcW w:w="5985" w:type="dxa"/>
            <w:vMerge w:val="restart"/>
          </w:tcPr>
          <w:p w:rsidR="00FC62FD" w:rsidRPr="00E6060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884FB7" w:rsidRPr="00966850" w:rsidTr="003E7688">
        <w:trPr>
          <w:trHeight w:val="375"/>
        </w:trPr>
        <w:tc>
          <w:tcPr>
            <w:tcW w:w="5985" w:type="dxa"/>
            <w:vMerge/>
          </w:tcPr>
          <w:p w:rsidR="00884FB7" w:rsidRPr="00E60607" w:rsidRDefault="00884FB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84FB7" w:rsidRPr="00E60607" w:rsidRDefault="00884FB7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D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7797" w:type="dxa"/>
          </w:tcPr>
          <w:p w:rsidR="00884FB7" w:rsidRPr="003E7688" w:rsidRDefault="009A667E" w:rsidP="003E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3E7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D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9A667E" w:rsidP="00D536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9A667E" w:rsidP="00D536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7797" w:type="dxa"/>
          </w:tcPr>
          <w:p w:rsidR="00884FB7" w:rsidRPr="00884FB7" w:rsidRDefault="007344DA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7797" w:type="dxa"/>
          </w:tcPr>
          <w:p w:rsidR="00884FB7" w:rsidRPr="00884FB7" w:rsidRDefault="007344DA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7797" w:type="dxa"/>
          </w:tcPr>
          <w:p w:rsidR="00884FB7" w:rsidRPr="00884FB7" w:rsidRDefault="00884FB7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797" w:type="dxa"/>
          </w:tcPr>
          <w:p w:rsidR="00884FB7" w:rsidRPr="00884FB7" w:rsidRDefault="007344DA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7344DA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7344DA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E7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797" w:type="dxa"/>
          </w:tcPr>
          <w:p w:rsidR="00884FB7" w:rsidRPr="00884FB7" w:rsidRDefault="007344DA" w:rsidP="0073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7797" w:type="dxa"/>
          </w:tcPr>
          <w:p w:rsidR="00884FB7" w:rsidRPr="003E7688" w:rsidRDefault="007344DA" w:rsidP="00135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79E1" w:rsidRDefault="00CB79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79E1" w:rsidRDefault="00CB79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79E1" w:rsidRDefault="00CB79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A263F" w:rsidRPr="002A263F" w:rsidRDefault="002A263F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6048C" w:rsidRDefault="0076048C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66D3" w:rsidRDefault="009A667E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Засвоєння курсу передбачає актуалізацію міжпредметних зв’язків усього журналістського циклу, зокрема, таких предметів, як журналістська майстерність, теорія журналістики, жанри журналістської творчості, проблематика ЗМІ, історія української журналістики, правові основи </w:t>
      </w:r>
      <w:proofErr w:type="spellStart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>ЗМК</w:t>
      </w:r>
      <w:proofErr w:type="spellEnd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журналістська етика, тележурналістика, радіожурналістика, технічні засоби масової комунікації тощо, а також залучення знань з циклу гуманітарних галузей – історії, літературознавства, мовознавства, соціології, політології, правознавства, </w:t>
      </w:r>
      <w:proofErr w:type="spellStart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>рілейшнз</w:t>
      </w:r>
      <w:proofErr w:type="spellEnd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психології, сучасної </w:t>
      </w:r>
      <w:proofErr w:type="spellStart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комунікативістики</w:t>
      </w:r>
      <w:proofErr w:type="spellEnd"/>
      <w:r w:rsidRPr="009A6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багатьох інших.</w:t>
      </w:r>
      <w:r w:rsidR="009C66B4" w:rsidRPr="002D3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76048C" w:rsidRPr="002D3389" w:rsidRDefault="0076048C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A6969" w:rsidRPr="000C7A58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76048C" w:rsidRDefault="0076048C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32B" w:rsidRDefault="00AA65AB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532B" w:rsidRPr="000C7A58">
        <w:rPr>
          <w:rFonts w:ascii="Times New Roman" w:hAnsi="Times New Roman" w:cs="Times New Roman"/>
          <w:sz w:val="28"/>
          <w:szCs w:val="28"/>
          <w:lang w:val="uk-UA"/>
        </w:rPr>
        <w:t>ивчення курсу потребує використання загальновживаних програм і операційних систем.</w:t>
      </w:r>
    </w:p>
    <w:p w:rsidR="0076048C" w:rsidRPr="000C7A58" w:rsidRDefault="0076048C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C7" w:rsidRPr="000C7A58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6969" w:rsidRPr="000C7A58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D532B" w:rsidRPr="000C7A58" w:rsidRDefault="00F6559E" w:rsidP="003F34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37EA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чікується, що студенти виконають декілька видів письмових </w:t>
      </w:r>
      <w:r w:rsidR="007344DA">
        <w:rPr>
          <w:rFonts w:ascii="Times New Roman" w:hAnsi="Times New Roman" w:cs="Times New Roman"/>
          <w:sz w:val="28"/>
          <w:szCs w:val="28"/>
          <w:lang w:val="uk-UA"/>
        </w:rPr>
        <w:t>і творчих завдань</w:t>
      </w:r>
      <w:r w:rsidR="005D37EA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A58" w:rsidRPr="000C7A58">
        <w:rPr>
          <w:rFonts w:ascii="Times New Roman" w:hAnsi="Times New Roman" w:cs="Times New Roman"/>
          <w:sz w:val="28"/>
          <w:szCs w:val="28"/>
          <w:lang w:val="uk-UA"/>
        </w:rPr>
        <w:t>задля закріплення з</w:t>
      </w:r>
      <w:r w:rsidR="009A667E">
        <w:rPr>
          <w:rFonts w:ascii="Times New Roman" w:hAnsi="Times New Roman" w:cs="Times New Roman"/>
          <w:sz w:val="28"/>
          <w:szCs w:val="28"/>
          <w:lang w:val="uk-UA"/>
        </w:rPr>
        <w:t>нань з історії зарубіжної журналістики</w:t>
      </w:r>
      <w:r w:rsidR="0073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7EA" w:rsidRPr="000C7A58" w:rsidRDefault="000C7A58" w:rsidP="003F34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559E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оботи студентів </w:t>
      </w:r>
      <w:r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F6559E" w:rsidRPr="000C7A5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Pr="000C7A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559E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A58">
        <w:rPr>
          <w:rFonts w:ascii="Times New Roman" w:hAnsi="Times New Roman" w:cs="Times New Roman"/>
          <w:sz w:val="28"/>
          <w:szCs w:val="28"/>
          <w:lang w:val="uk-UA"/>
        </w:rPr>
        <w:t>унікальними</w:t>
      </w:r>
      <w:r w:rsidR="007344DA">
        <w:rPr>
          <w:rFonts w:ascii="Times New Roman" w:hAnsi="Times New Roman" w:cs="Times New Roman"/>
          <w:sz w:val="28"/>
          <w:szCs w:val="28"/>
          <w:lang w:val="uk-UA"/>
        </w:rPr>
        <w:t>, наповненими креативними ідеями</w:t>
      </w:r>
      <w:r w:rsidR="00F6559E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. Виявлення ознак академічної </w:t>
      </w:r>
      <w:proofErr w:type="spellStart"/>
      <w:r w:rsidR="00F6559E" w:rsidRPr="000C7A58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="00F6559E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роботі студента є</w:t>
      </w:r>
      <w:r w:rsidR="00327311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 підставою для її </w:t>
      </w:r>
      <w:proofErr w:type="spellStart"/>
      <w:r w:rsidR="00327311" w:rsidRPr="000C7A58">
        <w:rPr>
          <w:rFonts w:ascii="Times New Roman" w:hAnsi="Times New Roman" w:cs="Times New Roman"/>
          <w:sz w:val="28"/>
          <w:szCs w:val="28"/>
          <w:lang w:val="uk-UA"/>
        </w:rPr>
        <w:t>незарахування</w:t>
      </w:r>
      <w:proofErr w:type="spellEnd"/>
      <w:r w:rsidR="00F6559E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викладачем, незалежно від масштабів плагіату чи обману.</w:t>
      </w:r>
    </w:p>
    <w:p w:rsidR="00F6559E" w:rsidRPr="009946B1" w:rsidRDefault="00F6559E" w:rsidP="003F34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всі студенти відвідають усі лекції і практичні заняття курсу. </w:t>
      </w:r>
      <w:r w:rsidRPr="009946B1">
        <w:rPr>
          <w:rFonts w:ascii="Times New Roman" w:hAnsi="Times New Roman" w:cs="Times New Roman"/>
          <w:sz w:val="28"/>
          <w:szCs w:val="28"/>
          <w:lang w:val="uk-UA"/>
        </w:rPr>
        <w:t>Студенти мають інформувати викладача про неможливість відвідати заняття. У будь-якому випадку студенти зобов’язані дотримуватися</w:t>
      </w:r>
      <w:r w:rsidR="00073FB7" w:rsidRPr="009946B1">
        <w:rPr>
          <w:rFonts w:ascii="Times New Roman" w:hAnsi="Times New Roman" w:cs="Times New Roman"/>
          <w:sz w:val="28"/>
          <w:szCs w:val="28"/>
          <w:lang w:val="uk-UA"/>
        </w:rPr>
        <w:t xml:space="preserve"> термінів виконання усіх видів робіт, передбачених курсом.</w:t>
      </w:r>
    </w:p>
    <w:p w:rsidR="00073FB7" w:rsidRPr="000C7A58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073FB7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48C" w:rsidRDefault="0076048C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673" w:rsidRDefault="00D53673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1"/>
        <w:gridCol w:w="709"/>
        <w:gridCol w:w="567"/>
        <w:gridCol w:w="425"/>
        <w:gridCol w:w="425"/>
        <w:gridCol w:w="425"/>
        <w:gridCol w:w="426"/>
      </w:tblGrid>
      <w:tr w:rsidR="009A667E" w:rsidRPr="002E53D2" w:rsidTr="00CB79E1">
        <w:trPr>
          <w:trHeight w:hRule="exact" w:val="269"/>
        </w:trPr>
        <w:tc>
          <w:tcPr>
            <w:tcW w:w="12201" w:type="dxa"/>
            <w:vMerge w:val="restart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2977" w:type="dxa"/>
            <w:gridSpan w:val="6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Кількість годин</w:t>
            </w:r>
          </w:p>
        </w:tc>
      </w:tr>
      <w:tr w:rsidR="009A667E" w:rsidRPr="002E53D2" w:rsidTr="00CB79E1">
        <w:trPr>
          <w:trHeight w:hRule="exact" w:val="273"/>
        </w:trPr>
        <w:tc>
          <w:tcPr>
            <w:tcW w:w="12201" w:type="dxa"/>
            <w:vMerge/>
            <w:shd w:val="clear" w:color="auto" w:fill="FFFFFF"/>
          </w:tcPr>
          <w:p w:rsidR="009A667E" w:rsidRPr="002E53D2" w:rsidRDefault="009A667E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left="-10"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разом</w:t>
            </w:r>
          </w:p>
        </w:tc>
        <w:tc>
          <w:tcPr>
            <w:tcW w:w="2268" w:type="dxa"/>
            <w:gridSpan w:val="5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у тому числі</w:t>
            </w:r>
          </w:p>
        </w:tc>
      </w:tr>
      <w:tr w:rsidR="009A667E" w:rsidRPr="002E53D2" w:rsidTr="00CB79E1">
        <w:trPr>
          <w:trHeight w:hRule="exact" w:val="1718"/>
        </w:trPr>
        <w:tc>
          <w:tcPr>
            <w:tcW w:w="12201" w:type="dxa"/>
            <w:vMerge/>
            <w:shd w:val="clear" w:color="auto" w:fill="FFFFFF"/>
          </w:tcPr>
          <w:p w:rsidR="009A667E" w:rsidRPr="002E53D2" w:rsidRDefault="009A667E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лекційні заняття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практичні заняття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семінарські заняття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лабораторні заняття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самостійна робота</w:t>
            </w:r>
          </w:p>
        </w:tc>
      </w:tr>
      <w:tr w:rsidR="009A667E" w:rsidRPr="002E53D2" w:rsidTr="00CB79E1">
        <w:trPr>
          <w:trHeight w:hRule="exact" w:val="212"/>
        </w:trPr>
        <w:tc>
          <w:tcPr>
            <w:tcW w:w="15178" w:type="dxa"/>
            <w:gridSpan w:val="7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23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2E53D2">
              <w:rPr>
                <w:rStyle w:val="115pt"/>
                <w:rFonts w:eastAsia="Courier New"/>
                <w:b/>
                <w:sz w:val="20"/>
                <w:szCs w:val="20"/>
              </w:rPr>
              <w:t xml:space="preserve">Змістовий модуль 1. </w:t>
            </w:r>
            <w:r w:rsidRPr="00B537D1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Історія зарубіжної журналістики від найдавніших часів до сьогодення</w:t>
            </w:r>
          </w:p>
        </w:tc>
      </w:tr>
      <w:tr w:rsidR="009A667E" w:rsidRPr="002E53D2" w:rsidTr="00CB79E1">
        <w:trPr>
          <w:trHeight w:hRule="exact" w:val="373"/>
        </w:trPr>
        <w:tc>
          <w:tcPr>
            <w:tcW w:w="12201" w:type="dxa"/>
            <w:shd w:val="clear" w:color="auto" w:fill="FFFFFF"/>
          </w:tcPr>
          <w:p w:rsidR="009A667E" w:rsidRPr="008541C7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spacing w:val="-4"/>
                <w:sz w:val="20"/>
                <w:szCs w:val="20"/>
                <w:lang w:val="uk-UA"/>
              </w:rPr>
            </w:pPr>
            <w:r w:rsidRPr="002E53D2">
              <w:rPr>
                <w:rStyle w:val="115pt"/>
                <w:rFonts w:eastAsia="Courier New"/>
                <w:spacing w:val="-4"/>
                <w:sz w:val="20"/>
                <w:szCs w:val="20"/>
              </w:rPr>
              <w:t xml:space="preserve">Тема 1. </w:t>
            </w:r>
            <w:r w:rsidRPr="008541C7">
              <w:rPr>
                <w:rFonts w:eastAsia="Courier New"/>
                <w:spacing w:val="-4"/>
                <w:sz w:val="20"/>
                <w:szCs w:val="20"/>
                <w:shd w:val="clear" w:color="auto" w:fill="FFFFFF"/>
                <w:lang w:val="uk-UA"/>
              </w:rPr>
              <w:t>Основні підходи до періодизації історії світової журналістики. Розповсюдження інформації, ораторське мистецтво і публіцистика в стародавньому світі.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192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2. 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Зародження журналістики в античності: досвід </w:t>
            </w:r>
            <w:r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С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тародавньої Греції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82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3. 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Зародження журн</w:t>
            </w:r>
            <w:r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алістики в античності: досвід С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тародавнього </w:t>
            </w:r>
            <w:r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Р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иму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84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pacing w:line="192" w:lineRule="auto"/>
              <w:ind w:left="119" w:firstLine="11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4. 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Рання християнська публіцистика. Журналістика середньовіччя і Відродження</w:t>
            </w:r>
          </w:p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19" w:firstLine="11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411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5. </w:t>
            </w:r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Журналістські явища діб Середньовіччя та Відродження. </w:t>
            </w:r>
            <w:proofErr w:type="spellStart"/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І. Гутенб</w:t>
            </w:r>
            <w:proofErr w:type="spellEnd"/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ерг і його винахід. Розповсюдження типографій у Європейських державах.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10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6. 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Журналістика доби Відродження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40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7. </w:t>
            </w:r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Європейська журналістика 17 ст. Формування газетно-журнальної справи.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86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pacing w:val="-10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pacing w:val="-10"/>
                <w:sz w:val="20"/>
                <w:szCs w:val="20"/>
              </w:rPr>
              <w:t xml:space="preserve">Тема 8. </w:t>
            </w:r>
            <w:r w:rsidRPr="008541C7">
              <w:rPr>
                <w:rFonts w:eastAsia="Courier New"/>
                <w:b/>
                <w:spacing w:val="-10"/>
                <w:sz w:val="20"/>
                <w:szCs w:val="20"/>
                <w:shd w:val="clear" w:color="auto" w:fill="FFFFFF"/>
                <w:lang w:val="uk-UA"/>
              </w:rPr>
              <w:t xml:space="preserve">Журналістика </w:t>
            </w:r>
            <w:r>
              <w:rPr>
                <w:rFonts w:eastAsia="Courier New"/>
                <w:b/>
                <w:spacing w:val="-10"/>
                <w:sz w:val="20"/>
                <w:szCs w:val="20"/>
                <w:shd w:val="clear" w:color="auto" w:fill="FFFFFF"/>
                <w:lang w:val="uk-UA"/>
              </w:rPr>
              <w:t>Н</w:t>
            </w:r>
            <w:r w:rsidRPr="008541C7">
              <w:rPr>
                <w:rFonts w:eastAsia="Courier New"/>
                <w:b/>
                <w:spacing w:val="-10"/>
                <w:sz w:val="20"/>
                <w:szCs w:val="20"/>
                <w:shd w:val="clear" w:color="auto" w:fill="FFFFFF"/>
                <w:lang w:val="uk-UA"/>
              </w:rPr>
              <w:t xml:space="preserve">ового часу і доби </w:t>
            </w:r>
            <w:r>
              <w:rPr>
                <w:rFonts w:eastAsia="Courier New"/>
                <w:b/>
                <w:spacing w:val="-10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8541C7">
              <w:rPr>
                <w:rFonts w:eastAsia="Courier New"/>
                <w:b/>
                <w:spacing w:val="-10"/>
                <w:sz w:val="20"/>
                <w:szCs w:val="20"/>
                <w:shd w:val="clear" w:color="auto" w:fill="FFFFFF"/>
                <w:lang w:val="uk-UA"/>
              </w:rPr>
              <w:t>росвітництва (ХVІІ</w:t>
            </w:r>
            <w:r w:rsidRPr="008541C7">
              <w:rPr>
                <w:rFonts w:eastAsia="Courier New"/>
                <w:b/>
                <w:spacing w:val="-1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541C7">
              <w:rPr>
                <w:rFonts w:eastAsia="Courier New"/>
                <w:b/>
                <w:spacing w:val="-10"/>
                <w:sz w:val="20"/>
                <w:szCs w:val="20"/>
                <w:shd w:val="clear" w:color="auto" w:fill="FFFFFF"/>
                <w:lang w:val="uk-UA"/>
              </w:rPr>
              <w:t>ст. – І пол. ХVІІІ ст.)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32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9. </w:t>
            </w:r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Зарубіжна журналістика епохи Просвітництва (18 ст.).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194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10. 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Журналістика </w:t>
            </w:r>
            <w:r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Н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ового часу і доби </w:t>
            </w:r>
            <w:r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росвітництва (ХVІІ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ст. – І пол. ХVІІІ ст.)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82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11. 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Політична публіцистика періоду Великої </w:t>
            </w:r>
            <w:r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французької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 революції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86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pacing w:line="192" w:lineRule="auto"/>
              <w:ind w:left="120" w:firstLine="13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12. </w:t>
            </w:r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Розвиток періодичної преси Росії у 18–19 ст. Північноамериканська журналістика 17–19 ст.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326"/>
        </w:trPr>
        <w:tc>
          <w:tcPr>
            <w:tcW w:w="12201" w:type="dxa"/>
            <w:shd w:val="clear" w:color="auto" w:fill="FFFFFF"/>
          </w:tcPr>
          <w:p w:rsidR="009A667E" w:rsidRPr="008541C7" w:rsidRDefault="009A667E" w:rsidP="009A667E">
            <w:pPr>
              <w:spacing w:after="40"/>
              <w:ind w:left="81"/>
              <w:jc w:val="both"/>
              <w:rPr>
                <w:b/>
                <w:sz w:val="20"/>
                <w:szCs w:val="28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13. </w:t>
            </w:r>
            <w:proofErr w:type="spellStart"/>
            <w:r w:rsidRPr="008541C7">
              <w:rPr>
                <w:rStyle w:val="FontStyle60"/>
                <w:b/>
                <w:sz w:val="20"/>
                <w:lang w:eastAsia="uk-UA"/>
              </w:rPr>
              <w:t>Докорінні</w:t>
            </w:r>
            <w:proofErr w:type="spellEnd"/>
            <w:r w:rsidRPr="008541C7">
              <w:rPr>
                <w:rStyle w:val="FontStyle60"/>
                <w:b/>
                <w:sz w:val="20"/>
                <w:lang w:eastAsia="uk-UA"/>
              </w:rPr>
              <w:t xml:space="preserve"> </w:t>
            </w:r>
            <w:proofErr w:type="spellStart"/>
            <w:r w:rsidRPr="008541C7">
              <w:rPr>
                <w:rStyle w:val="FontStyle60"/>
                <w:b/>
                <w:sz w:val="20"/>
                <w:lang w:eastAsia="uk-UA"/>
              </w:rPr>
              <w:t>зміни</w:t>
            </w:r>
            <w:proofErr w:type="spellEnd"/>
            <w:r w:rsidRPr="008541C7">
              <w:rPr>
                <w:rStyle w:val="FontStyle60"/>
                <w:b/>
                <w:sz w:val="20"/>
                <w:lang w:eastAsia="uk-UA"/>
              </w:rPr>
              <w:t xml:space="preserve"> в </w:t>
            </w:r>
            <w:proofErr w:type="spellStart"/>
            <w:r w:rsidRPr="008541C7">
              <w:rPr>
                <w:rStyle w:val="FontStyle60"/>
                <w:b/>
                <w:sz w:val="20"/>
                <w:lang w:eastAsia="uk-UA"/>
              </w:rPr>
              <w:t>зарубіжній</w:t>
            </w:r>
            <w:proofErr w:type="spellEnd"/>
            <w:r w:rsidRPr="008541C7">
              <w:rPr>
                <w:rStyle w:val="FontStyle60"/>
                <w:b/>
                <w:sz w:val="20"/>
                <w:lang w:eastAsia="uk-UA"/>
              </w:rPr>
              <w:t xml:space="preserve"> </w:t>
            </w:r>
            <w:proofErr w:type="spellStart"/>
            <w:r w:rsidRPr="008541C7">
              <w:rPr>
                <w:rStyle w:val="FontStyle60"/>
                <w:b/>
                <w:sz w:val="20"/>
                <w:lang w:eastAsia="uk-UA"/>
              </w:rPr>
              <w:t>журналістиці</w:t>
            </w:r>
            <w:proofErr w:type="spellEnd"/>
            <w:r w:rsidRPr="008541C7">
              <w:rPr>
                <w:rStyle w:val="FontStyle60"/>
                <w:b/>
                <w:sz w:val="20"/>
                <w:lang w:eastAsia="uk-UA"/>
              </w:rPr>
              <w:t xml:space="preserve"> </w:t>
            </w:r>
            <w:proofErr w:type="spellStart"/>
            <w:r w:rsidRPr="008541C7">
              <w:rPr>
                <w:rStyle w:val="FontStyle60"/>
                <w:b/>
                <w:sz w:val="20"/>
                <w:lang w:eastAsia="uk-UA"/>
              </w:rPr>
              <w:t>ХІ</w:t>
            </w:r>
            <w:proofErr w:type="gramStart"/>
            <w:r w:rsidRPr="008541C7">
              <w:rPr>
                <w:rStyle w:val="FontStyle60"/>
                <w:b/>
                <w:sz w:val="20"/>
                <w:lang w:eastAsia="uk-UA"/>
              </w:rPr>
              <w:t>Х</w:t>
            </w:r>
            <w:proofErr w:type="spellEnd"/>
            <w:proofErr w:type="gramEnd"/>
            <w:r>
              <w:rPr>
                <w:rStyle w:val="FontStyle60"/>
                <w:b/>
                <w:sz w:val="20"/>
                <w:lang w:eastAsia="uk-UA"/>
              </w:rPr>
              <w:t xml:space="preserve"> </w:t>
            </w:r>
            <w:r w:rsidRPr="008541C7">
              <w:rPr>
                <w:rStyle w:val="FontStyle60"/>
                <w:b/>
                <w:sz w:val="20"/>
                <w:lang w:eastAsia="uk-UA"/>
              </w:rPr>
              <w:t>ст.</w:t>
            </w:r>
          </w:p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9A667E" w:rsidRPr="00FC3AD5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9A667E" w:rsidRPr="00FC3AD5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38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14. </w:t>
            </w:r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Американська </w:t>
            </w:r>
            <w:proofErr w:type="spellStart"/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розслідувальна</w:t>
            </w:r>
            <w:proofErr w:type="spellEnd"/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 журналістика ХХ ст. Історія розвитку </w:t>
            </w:r>
            <w:proofErr w:type="spellStart"/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розслідувальної</w:t>
            </w:r>
            <w:proofErr w:type="spellEnd"/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 журналістики Західної Європи та Америки.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9A667E" w:rsidRPr="00FC3AD5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FC3AD5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667E" w:rsidRPr="002E53D2" w:rsidTr="00CB79E1">
        <w:trPr>
          <w:trHeight w:hRule="exact" w:val="270"/>
        </w:trPr>
        <w:tc>
          <w:tcPr>
            <w:tcW w:w="12201" w:type="dxa"/>
            <w:shd w:val="clear" w:color="auto" w:fill="FFFFFF"/>
          </w:tcPr>
          <w:p w:rsidR="009A667E" w:rsidRPr="0092739C" w:rsidRDefault="009A667E" w:rsidP="009A667E">
            <w:pPr>
              <w:pStyle w:val="6"/>
              <w:spacing w:line="192" w:lineRule="auto"/>
              <w:ind w:left="120" w:hanging="39"/>
              <w:jc w:val="left"/>
              <w:rPr>
                <w:b/>
                <w:sz w:val="20"/>
                <w:szCs w:val="20"/>
                <w:shd w:val="clear" w:color="auto" w:fill="FFFFFF"/>
                <w:lang w:val="uk-UA" w:eastAsia="en-US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15. </w:t>
            </w:r>
            <w:r w:rsidRPr="008541C7"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>Зростання ролі та засобів масової комунікації у ХХ ст.</w:t>
            </w:r>
            <w:r>
              <w:rPr>
                <w:rFonts w:eastAsia="Courier New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92739C">
              <w:rPr>
                <w:b/>
                <w:sz w:val="20"/>
                <w:szCs w:val="20"/>
                <w:shd w:val="clear" w:color="auto" w:fill="FFFFFF"/>
                <w:lang w:val="uk-UA" w:eastAsia="en-US"/>
              </w:rPr>
              <w:t>Комунікаційні революції 20 ст.</w:t>
            </w:r>
          </w:p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9A667E" w:rsidRPr="00FC3AD5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FC3AD5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68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Тема16. </w:t>
            </w:r>
            <w:r w:rsidRPr="008541C7">
              <w:rPr>
                <w:rFonts w:eastAsia="Courier New"/>
                <w:b/>
                <w:bCs/>
                <w:sz w:val="20"/>
                <w:szCs w:val="20"/>
                <w:shd w:val="clear" w:color="auto" w:fill="FFFFFF"/>
                <w:lang w:val="uk-UA"/>
              </w:rPr>
              <w:t>Типологічна еволюція зарубіжної періодики ХХ ст</w:t>
            </w:r>
            <w:r>
              <w:rPr>
                <w:rFonts w:eastAsia="Courier New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31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Тема 17. </w:t>
            </w:r>
            <w:r w:rsidRPr="008541C7">
              <w:rPr>
                <w:rFonts w:eastAsia="Courier New"/>
                <w:b/>
                <w:bCs/>
                <w:sz w:val="20"/>
                <w:szCs w:val="20"/>
                <w:shd w:val="clear" w:color="auto" w:fill="FFFFFF"/>
                <w:lang w:val="uk-UA"/>
              </w:rPr>
              <w:t>Жанр репортажу в історії зарубіжної журналістики ХІХ - ХХ ст.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190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Тема 18. </w:t>
            </w:r>
            <w:r w:rsidRPr="008541C7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Визначальні тенденції розвитку світової журналістики ІІ пол. ХХ ст.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206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Тема 19. </w:t>
            </w:r>
            <w:r w:rsidRPr="00F95112">
              <w:rPr>
                <w:rFonts w:eastAsia="Courier New"/>
                <w:b/>
                <w:bCs/>
                <w:sz w:val="20"/>
                <w:szCs w:val="20"/>
                <w:shd w:val="clear" w:color="auto" w:fill="FFFFFF"/>
                <w:lang w:val="uk-UA"/>
              </w:rPr>
              <w:t>Сучасна журналістика Великобританії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190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Тема 20. </w:t>
            </w:r>
            <w:r w:rsidRPr="00F9511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Національні особливості систем сучасних зарубіжних </w:t>
            </w:r>
            <w:proofErr w:type="spellStart"/>
            <w:r w:rsidRPr="00F9511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ЗМК</w:t>
            </w:r>
            <w:proofErr w:type="spellEnd"/>
            <w:r w:rsidRPr="00F9511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332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Тема 21.</w:t>
            </w:r>
            <w:r w:rsidRPr="00F95112">
              <w:rPr>
                <w:rFonts w:eastAsia="Courier New"/>
                <w:b/>
                <w:bCs/>
                <w:sz w:val="20"/>
                <w:szCs w:val="20"/>
                <w:shd w:val="clear" w:color="auto" w:fill="FFFFFF"/>
                <w:lang w:val="uk-UA"/>
              </w:rPr>
              <w:t>Монополізація, концентрація та конкуренція зарубіжних ЗМІ. Сучасні видавничі концерни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324"/>
        </w:trPr>
        <w:tc>
          <w:tcPr>
            <w:tcW w:w="12201" w:type="dxa"/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19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Тема 22. </w:t>
            </w:r>
            <w:r w:rsidRPr="00F95112">
              <w:rPr>
                <w:rFonts w:eastAsia="Courier New"/>
                <w:b/>
                <w:bCs/>
                <w:sz w:val="20"/>
                <w:szCs w:val="20"/>
                <w:shd w:val="clear" w:color="auto" w:fill="FFFFFF"/>
                <w:lang w:val="uk-UA"/>
              </w:rPr>
              <w:t>Сучасне зарубіжне телебачення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667E" w:rsidRPr="002E53D2" w:rsidTr="00CB79E1">
        <w:trPr>
          <w:trHeight w:hRule="exact" w:val="324"/>
        </w:trPr>
        <w:tc>
          <w:tcPr>
            <w:tcW w:w="12201" w:type="dxa"/>
            <w:shd w:val="clear" w:color="auto" w:fill="FFFFFF"/>
          </w:tcPr>
          <w:p w:rsidR="009A667E" w:rsidRPr="00B537D1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9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B79E1" w:rsidRPr="002E53D2" w:rsidTr="00CB79E1">
        <w:trPr>
          <w:trHeight w:hRule="exact" w:val="312"/>
        </w:trPr>
        <w:tc>
          <w:tcPr>
            <w:tcW w:w="12201" w:type="dxa"/>
            <w:tcBorders>
              <w:bottom w:val="single" w:sz="4" w:space="0" w:color="auto"/>
            </w:tcBorders>
            <w:shd w:val="clear" w:color="auto" w:fill="FFFFFF"/>
          </w:tcPr>
          <w:p w:rsidR="009A667E" w:rsidRPr="002E53D2" w:rsidRDefault="009A667E" w:rsidP="009A667E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Разом годин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9A667E" w:rsidRPr="002E53D2" w:rsidRDefault="009A667E" w:rsidP="009A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CA6969" w:rsidRDefault="00CA6969" w:rsidP="00961B5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uk-UA"/>
        </w:rPr>
      </w:pPr>
    </w:p>
    <w:p w:rsidR="0076048C" w:rsidRDefault="0076048C" w:rsidP="00961B5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uk-UA"/>
        </w:rPr>
      </w:pPr>
    </w:p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7311" w:rsidRPr="0003621D" w:rsidRDefault="0003621D" w:rsidP="009A66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семестру/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7311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B0B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Поточна успішність – </w:t>
      </w:r>
      <w:r w:rsidR="007344D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балів, модульна контрольна робота – </w:t>
      </w:r>
      <w:r w:rsidR="007344D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344DA">
        <w:rPr>
          <w:rFonts w:ascii="Times New Roman" w:eastAsia="Times New Roman" w:hAnsi="Times New Roman" w:cs="Times New Roman"/>
          <w:sz w:val="28"/>
          <w:szCs w:val="28"/>
          <w:lang w:val="uk-UA"/>
        </w:rPr>
        <w:t>, екзамен – 40 балів</w:t>
      </w:r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1D" w:rsidRDefault="007344DA" w:rsidP="009A66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Допуск до екзамену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виконанання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трьох головних вимог: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обов’язкова</w:t>
      </w:r>
      <w:proofErr w:type="spellEnd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лекційних</w:t>
      </w:r>
      <w:proofErr w:type="spellEnd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3F6" w:rsidRPr="0003621D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семестру,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2DA7" w:rsidRPr="0003621D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занять,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упішне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модульної контрольної роботи</w:t>
      </w:r>
      <w:r w:rsidR="003E2E8D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2DA7" w:rsidRPr="00036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Мінімальний результат роботи на практичних заняттях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балів, мінімально необхідний результат за виконання модульної контрольної роботи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балів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мінімальна екзаменаційна оцінка – 24 бали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3621D" w:rsidRDefault="0003621D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 Рекомендована література</w:t>
      </w:r>
    </w:p>
    <w:p w:rsidR="009A667E" w:rsidRPr="009A667E" w:rsidRDefault="009A667E" w:rsidP="009A667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7E">
        <w:rPr>
          <w:rFonts w:ascii="Times New Roman" w:hAnsi="Times New Roman" w:cs="Times New Roman"/>
          <w:sz w:val="28"/>
          <w:szCs w:val="28"/>
          <w:lang w:val="uk-UA"/>
        </w:rPr>
        <w:t xml:space="preserve">Волковинський О. </w:t>
      </w:r>
      <w:r w:rsidRPr="009A667E">
        <w:rPr>
          <w:rFonts w:ascii="Times New Roman" w:hAnsi="Times New Roman" w:cs="Times New Roman"/>
          <w:sz w:val="28"/>
          <w:szCs w:val="28"/>
        </w:rPr>
        <w:t>Практикум з "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Кам'янець-Подільський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>, 2014. 84 с.</w:t>
      </w:r>
    </w:p>
    <w:p w:rsidR="009A667E" w:rsidRPr="009A667E" w:rsidRDefault="009A667E" w:rsidP="009A667E">
      <w:pPr>
        <w:pStyle w:val="ae"/>
        <w:numPr>
          <w:ilvl w:val="0"/>
          <w:numId w:val="18"/>
        </w:numPr>
        <w:spacing w:before="0" w:after="0"/>
        <w:ind w:left="284" w:hanging="284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9A667E">
        <w:rPr>
          <w:rFonts w:ascii="Times New Roman" w:hAnsi="Times New Roman"/>
          <w:bCs/>
          <w:color w:val="0D0D0D"/>
          <w:sz w:val="28"/>
          <w:szCs w:val="28"/>
          <w:lang w:val="uk-UA"/>
        </w:rPr>
        <w:t>Жиленко І. Р.</w:t>
      </w:r>
      <w:r w:rsidRPr="009A667E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 w:rsidRPr="009A667E">
        <w:rPr>
          <w:rFonts w:ascii="Times New Roman" w:hAnsi="Times New Roman"/>
          <w:color w:val="0D0D0D"/>
          <w:sz w:val="28"/>
          <w:szCs w:val="28"/>
          <w:lang w:val="uk-UA"/>
        </w:rPr>
        <w:t>Історія зарубіжної журналістики (від античності до ІІ пол. Х</w:t>
      </w:r>
      <w:r w:rsidRPr="009A667E">
        <w:rPr>
          <w:rFonts w:ascii="Times New Roman" w:hAnsi="Times New Roman"/>
          <w:color w:val="0D0D0D"/>
          <w:sz w:val="28"/>
          <w:szCs w:val="28"/>
          <w:lang w:val="en-US"/>
        </w:rPr>
        <w:t>V</w:t>
      </w:r>
      <w:r w:rsidRPr="009A667E">
        <w:rPr>
          <w:rFonts w:ascii="Times New Roman" w:hAnsi="Times New Roman"/>
          <w:color w:val="0D0D0D"/>
          <w:sz w:val="28"/>
          <w:szCs w:val="28"/>
          <w:lang w:val="uk-UA"/>
        </w:rPr>
        <w:t>ІІІ ст.) : навчальний посібник. Суми, 2010. 285 с.</w:t>
      </w:r>
    </w:p>
    <w:p w:rsidR="009A667E" w:rsidRPr="009A667E" w:rsidRDefault="009A667E" w:rsidP="009A66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зарубіжних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spellEnd"/>
      <w:proofErr w:type="gram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ретроспективний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бібліографічний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покажчик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, 2004. 253 с. </w:t>
      </w:r>
    </w:p>
    <w:p w:rsidR="009A667E" w:rsidRPr="009A667E" w:rsidRDefault="009A667E" w:rsidP="009A667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667E">
        <w:rPr>
          <w:rFonts w:ascii="Times New Roman" w:hAnsi="Times New Roman" w:cs="Times New Roman"/>
          <w:sz w:val="28"/>
          <w:szCs w:val="28"/>
        </w:rPr>
        <w:t xml:space="preserve">Лось Й.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6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667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Навчальнийпосібник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: У 2 ч.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>, 2008.</w:t>
      </w:r>
    </w:p>
    <w:p w:rsidR="009A667E" w:rsidRPr="009A667E" w:rsidRDefault="009A667E" w:rsidP="009A667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667E">
        <w:rPr>
          <w:rFonts w:ascii="Times New Roman" w:hAnsi="Times New Roman" w:cs="Times New Roman"/>
          <w:sz w:val="28"/>
          <w:szCs w:val="28"/>
        </w:rPr>
        <w:t xml:space="preserve">Мелещенко О. К., Черняков Б. І.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9A667E">
        <w:rPr>
          <w:rFonts w:ascii="Times New Roman" w:hAnsi="Times New Roman" w:cs="Times New Roman"/>
          <w:i/>
          <w:sz w:val="28"/>
          <w:szCs w:val="28"/>
        </w:rPr>
        <w:t xml:space="preserve"> записки </w:t>
      </w:r>
      <w:proofErr w:type="spellStart"/>
      <w:r w:rsidRPr="009A667E">
        <w:rPr>
          <w:rFonts w:ascii="Times New Roman" w:hAnsi="Times New Roman" w:cs="Times New Roman"/>
          <w:i/>
          <w:sz w:val="28"/>
          <w:szCs w:val="28"/>
        </w:rPr>
        <w:t>Інституту</w:t>
      </w:r>
      <w:proofErr w:type="spellEnd"/>
      <w:r w:rsidRPr="009A6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i/>
          <w:sz w:val="28"/>
          <w:szCs w:val="28"/>
        </w:rPr>
        <w:t>журналістики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>. Том 10 (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січень-березень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>). 2003. С. 159–212.</w:t>
      </w:r>
    </w:p>
    <w:p w:rsidR="009A667E" w:rsidRPr="009A667E" w:rsidRDefault="009A667E" w:rsidP="009A667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МелещенкоО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. К., Черняков Б. І.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9A667E">
        <w:rPr>
          <w:rFonts w:ascii="Times New Roman" w:hAnsi="Times New Roman" w:cs="Times New Roman"/>
          <w:i/>
          <w:sz w:val="28"/>
          <w:szCs w:val="28"/>
        </w:rPr>
        <w:t xml:space="preserve"> записки </w:t>
      </w:r>
      <w:proofErr w:type="spellStart"/>
      <w:r w:rsidRPr="009A667E">
        <w:rPr>
          <w:rFonts w:ascii="Times New Roman" w:hAnsi="Times New Roman" w:cs="Times New Roman"/>
          <w:i/>
          <w:sz w:val="28"/>
          <w:szCs w:val="28"/>
        </w:rPr>
        <w:t>Інституту</w:t>
      </w:r>
      <w:proofErr w:type="spellEnd"/>
      <w:r w:rsidRPr="009A6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i/>
          <w:sz w:val="28"/>
          <w:szCs w:val="28"/>
        </w:rPr>
        <w:t>журналістики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>. Том 9 (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жовтень-грудень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>). 2002. С.191–228.</w:t>
      </w:r>
    </w:p>
    <w:p w:rsidR="009A667E" w:rsidRPr="009A667E" w:rsidRDefault="009A667E" w:rsidP="009A667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Петрів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A667E">
        <w:rPr>
          <w:rFonts w:ascii="Times New Roman" w:hAnsi="Times New Roman" w:cs="Times New Roman"/>
          <w:sz w:val="28"/>
          <w:szCs w:val="28"/>
        </w:rPr>
        <w:t>, 2003.</w:t>
      </w:r>
    </w:p>
    <w:p w:rsidR="009A667E" w:rsidRPr="009A667E" w:rsidRDefault="009A667E" w:rsidP="009A66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Федченко П.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Преса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попередники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зародження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закономірності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, 1969. 352 с. </w:t>
      </w:r>
    </w:p>
    <w:p w:rsidR="009A667E" w:rsidRPr="009A667E" w:rsidRDefault="009A667E" w:rsidP="009A66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Хітрова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Історико-журналістський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цикл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дисциплін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педагогічній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парадигмі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Журналістика</w:t>
      </w:r>
      <w:proofErr w:type="spellEnd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й </w:t>
      </w:r>
      <w:proofErr w:type="spellStart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освіта</w:t>
      </w:r>
      <w:proofErr w:type="spellEnd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методика, </w:t>
      </w:r>
      <w:proofErr w:type="spellStart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історія</w:t>
      </w:r>
      <w:proofErr w:type="spellEnd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теорія</w:t>
      </w:r>
      <w:proofErr w:type="spellEnd"/>
      <w:r w:rsidRPr="009A66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практика </w:t>
      </w:r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колективна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монографія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Дніпро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, 2018. С. 12–25. </w:t>
      </w:r>
    </w:p>
    <w:p w:rsidR="009A667E" w:rsidRPr="009A667E" w:rsidRDefault="009A667E" w:rsidP="009A667E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Хітрова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Т. В.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зарубіжної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журналістики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9A667E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667E">
        <w:rPr>
          <w:rFonts w:ascii="Times New Roman" w:hAnsi="Times New Roman" w:cs="Times New Roman"/>
          <w:color w:val="000000"/>
          <w:sz w:val="28"/>
          <w:szCs w:val="28"/>
        </w:rPr>
        <w:t>Запоріжжя</w:t>
      </w:r>
      <w:proofErr w:type="spellEnd"/>
      <w:r w:rsidRPr="009A667E">
        <w:rPr>
          <w:rFonts w:ascii="Times New Roman" w:hAnsi="Times New Roman" w:cs="Times New Roman"/>
          <w:color w:val="000000"/>
          <w:sz w:val="28"/>
          <w:szCs w:val="28"/>
        </w:rPr>
        <w:t>, 2019. 145 с.</w:t>
      </w:r>
    </w:p>
    <w:p w:rsidR="0076048C" w:rsidRPr="0003621D" w:rsidRDefault="0076048C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sectPr w:rsidR="0076048C" w:rsidRPr="0003621D" w:rsidSect="001F6B7D">
      <w:headerReference w:type="default" r:id="rId9"/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A2" w:rsidRDefault="007322A2" w:rsidP="00EB2356">
      <w:pPr>
        <w:spacing w:after="0" w:line="240" w:lineRule="auto"/>
      </w:pPr>
      <w:r>
        <w:separator/>
      </w:r>
    </w:p>
  </w:endnote>
  <w:endnote w:type="continuationSeparator" w:id="0">
    <w:p w:rsidR="007322A2" w:rsidRDefault="007322A2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D53673" w:rsidRDefault="007322A2">
        <w:pPr>
          <w:pStyle w:val="a9"/>
          <w:jc w:val="center"/>
        </w:pPr>
      </w:p>
    </w:sdtContent>
  </w:sdt>
  <w:p w:rsidR="00D53673" w:rsidRDefault="00D536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A2" w:rsidRDefault="007322A2" w:rsidP="00EB2356">
      <w:pPr>
        <w:spacing w:after="0" w:line="240" w:lineRule="auto"/>
      </w:pPr>
      <w:r>
        <w:separator/>
      </w:r>
    </w:p>
  </w:footnote>
  <w:footnote w:type="continuationSeparator" w:id="0">
    <w:p w:rsidR="007322A2" w:rsidRDefault="007322A2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3" w:rsidRDefault="00D53673">
    <w:pPr>
      <w:pStyle w:val="a7"/>
      <w:jc w:val="right"/>
    </w:pPr>
  </w:p>
  <w:p w:rsidR="00D53673" w:rsidRDefault="00D536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3" w:rsidRDefault="00D53673">
    <w:pPr>
      <w:pStyle w:val="a7"/>
      <w:jc w:val="center"/>
    </w:pPr>
  </w:p>
  <w:p w:rsidR="00D53673" w:rsidRDefault="00D536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A2"/>
    <w:multiLevelType w:val="hybridMultilevel"/>
    <w:tmpl w:val="591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03E"/>
    <w:multiLevelType w:val="hybridMultilevel"/>
    <w:tmpl w:val="85CC7E80"/>
    <w:lvl w:ilvl="0" w:tplc="3A705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E2D2A"/>
    <w:multiLevelType w:val="hybridMultilevel"/>
    <w:tmpl w:val="BB6A8ADC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2C8E1027"/>
    <w:multiLevelType w:val="hybridMultilevel"/>
    <w:tmpl w:val="76541268"/>
    <w:lvl w:ilvl="0" w:tplc="7A16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0C90F2A"/>
    <w:multiLevelType w:val="hybridMultilevel"/>
    <w:tmpl w:val="D77AFBEA"/>
    <w:lvl w:ilvl="0" w:tplc="3A705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F05F70"/>
    <w:multiLevelType w:val="hybridMultilevel"/>
    <w:tmpl w:val="343C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763985"/>
    <w:multiLevelType w:val="hybridMultilevel"/>
    <w:tmpl w:val="D92E591A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B2F33A7"/>
    <w:multiLevelType w:val="hybridMultilevel"/>
    <w:tmpl w:val="DB50418E"/>
    <w:lvl w:ilvl="0" w:tplc="449ED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70FD"/>
    <w:multiLevelType w:val="hybridMultilevel"/>
    <w:tmpl w:val="B92A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82086"/>
    <w:multiLevelType w:val="hybridMultilevel"/>
    <w:tmpl w:val="53822D32"/>
    <w:lvl w:ilvl="0" w:tplc="97005F08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7"/>
  </w:num>
  <w:num w:numId="14">
    <w:abstractNumId w:val="0"/>
  </w:num>
  <w:num w:numId="15">
    <w:abstractNumId w:val="16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3621D"/>
    <w:rsid w:val="00054349"/>
    <w:rsid w:val="000703E8"/>
    <w:rsid w:val="00070BCE"/>
    <w:rsid w:val="00073FB7"/>
    <w:rsid w:val="00074970"/>
    <w:rsid w:val="00077271"/>
    <w:rsid w:val="000A435F"/>
    <w:rsid w:val="000A7657"/>
    <w:rsid w:val="000C71CB"/>
    <w:rsid w:val="000C7A58"/>
    <w:rsid w:val="000E0BC3"/>
    <w:rsid w:val="000F4E80"/>
    <w:rsid w:val="000F6CC0"/>
    <w:rsid w:val="00103CF7"/>
    <w:rsid w:val="00132D09"/>
    <w:rsid w:val="00135C40"/>
    <w:rsid w:val="001A22ED"/>
    <w:rsid w:val="001B3EAF"/>
    <w:rsid w:val="001D5A26"/>
    <w:rsid w:val="001F6B7D"/>
    <w:rsid w:val="0022402C"/>
    <w:rsid w:val="002466D3"/>
    <w:rsid w:val="002710C2"/>
    <w:rsid w:val="00284E78"/>
    <w:rsid w:val="002874DE"/>
    <w:rsid w:val="00295B30"/>
    <w:rsid w:val="002967C1"/>
    <w:rsid w:val="002A263F"/>
    <w:rsid w:val="002B72CB"/>
    <w:rsid w:val="002D3389"/>
    <w:rsid w:val="002E551F"/>
    <w:rsid w:val="00327311"/>
    <w:rsid w:val="0035301D"/>
    <w:rsid w:val="00365C9C"/>
    <w:rsid w:val="00392BB8"/>
    <w:rsid w:val="003B1240"/>
    <w:rsid w:val="003D22D3"/>
    <w:rsid w:val="003D2A1B"/>
    <w:rsid w:val="003E2E8D"/>
    <w:rsid w:val="003E7688"/>
    <w:rsid w:val="003F3407"/>
    <w:rsid w:val="00416020"/>
    <w:rsid w:val="004636B2"/>
    <w:rsid w:val="00486544"/>
    <w:rsid w:val="004A5A19"/>
    <w:rsid w:val="004B2DA7"/>
    <w:rsid w:val="004C4A77"/>
    <w:rsid w:val="004D5CC7"/>
    <w:rsid w:val="004F25FA"/>
    <w:rsid w:val="00527B0B"/>
    <w:rsid w:val="005447BC"/>
    <w:rsid w:val="0057586C"/>
    <w:rsid w:val="005A424D"/>
    <w:rsid w:val="005D37EA"/>
    <w:rsid w:val="006107CD"/>
    <w:rsid w:val="00632E20"/>
    <w:rsid w:val="00655D29"/>
    <w:rsid w:val="006739DB"/>
    <w:rsid w:val="00691A55"/>
    <w:rsid w:val="006A279D"/>
    <w:rsid w:val="006B7B2D"/>
    <w:rsid w:val="006D722C"/>
    <w:rsid w:val="00714779"/>
    <w:rsid w:val="007322A2"/>
    <w:rsid w:val="007344DA"/>
    <w:rsid w:val="007403F6"/>
    <w:rsid w:val="0076048C"/>
    <w:rsid w:val="007623DD"/>
    <w:rsid w:val="00771347"/>
    <w:rsid w:val="007C014C"/>
    <w:rsid w:val="007D793C"/>
    <w:rsid w:val="00800183"/>
    <w:rsid w:val="00810E26"/>
    <w:rsid w:val="00836E19"/>
    <w:rsid w:val="00843C51"/>
    <w:rsid w:val="00853C11"/>
    <w:rsid w:val="00863556"/>
    <w:rsid w:val="00880C0E"/>
    <w:rsid w:val="00884FB7"/>
    <w:rsid w:val="008A35D3"/>
    <w:rsid w:val="008F4594"/>
    <w:rsid w:val="008F4B3F"/>
    <w:rsid w:val="00911E99"/>
    <w:rsid w:val="00915B70"/>
    <w:rsid w:val="00941657"/>
    <w:rsid w:val="00961B57"/>
    <w:rsid w:val="00966850"/>
    <w:rsid w:val="00986999"/>
    <w:rsid w:val="00990540"/>
    <w:rsid w:val="00992E30"/>
    <w:rsid w:val="009946B1"/>
    <w:rsid w:val="009A17B8"/>
    <w:rsid w:val="009A667E"/>
    <w:rsid w:val="009B1675"/>
    <w:rsid w:val="009C0344"/>
    <w:rsid w:val="009C66B4"/>
    <w:rsid w:val="009D5770"/>
    <w:rsid w:val="009E375B"/>
    <w:rsid w:val="00A13DA4"/>
    <w:rsid w:val="00A26FA2"/>
    <w:rsid w:val="00A951F7"/>
    <w:rsid w:val="00AA65AB"/>
    <w:rsid w:val="00AB66C6"/>
    <w:rsid w:val="00AB6BB9"/>
    <w:rsid w:val="00AF347F"/>
    <w:rsid w:val="00BE09A6"/>
    <w:rsid w:val="00BE31C5"/>
    <w:rsid w:val="00BE7B8A"/>
    <w:rsid w:val="00C059EE"/>
    <w:rsid w:val="00C24AE9"/>
    <w:rsid w:val="00C315ED"/>
    <w:rsid w:val="00C459C7"/>
    <w:rsid w:val="00C669B5"/>
    <w:rsid w:val="00C74486"/>
    <w:rsid w:val="00C75A78"/>
    <w:rsid w:val="00C763F9"/>
    <w:rsid w:val="00C967D4"/>
    <w:rsid w:val="00CA6969"/>
    <w:rsid w:val="00CB79E1"/>
    <w:rsid w:val="00CC26F1"/>
    <w:rsid w:val="00CD532B"/>
    <w:rsid w:val="00CF766E"/>
    <w:rsid w:val="00D41D51"/>
    <w:rsid w:val="00D46263"/>
    <w:rsid w:val="00D53673"/>
    <w:rsid w:val="00D76D06"/>
    <w:rsid w:val="00D96BC2"/>
    <w:rsid w:val="00DC0EE8"/>
    <w:rsid w:val="00DC30B3"/>
    <w:rsid w:val="00DC3AF4"/>
    <w:rsid w:val="00DE3A61"/>
    <w:rsid w:val="00E0540D"/>
    <w:rsid w:val="00E059BD"/>
    <w:rsid w:val="00E0677A"/>
    <w:rsid w:val="00E20F29"/>
    <w:rsid w:val="00E44BEC"/>
    <w:rsid w:val="00E60607"/>
    <w:rsid w:val="00E7240A"/>
    <w:rsid w:val="00E73B4D"/>
    <w:rsid w:val="00EB2356"/>
    <w:rsid w:val="00EE2549"/>
    <w:rsid w:val="00EE25B1"/>
    <w:rsid w:val="00F03C77"/>
    <w:rsid w:val="00F0461C"/>
    <w:rsid w:val="00F353E1"/>
    <w:rsid w:val="00F564A1"/>
    <w:rsid w:val="00F6559E"/>
    <w:rsid w:val="00F660B9"/>
    <w:rsid w:val="00F76A13"/>
    <w:rsid w:val="00F81B83"/>
    <w:rsid w:val="00F82265"/>
    <w:rsid w:val="00FC61CE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7344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e">
    <w:name w:val="Normal (Web)"/>
    <w:basedOn w:val="a"/>
    <w:uiPriority w:val="99"/>
    <w:rsid w:val="009A667E"/>
    <w:pPr>
      <w:spacing w:before="40" w:line="240" w:lineRule="auto"/>
      <w:ind w:left="40" w:right="40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FontStyle60">
    <w:name w:val="Font Style60"/>
    <w:uiPriority w:val="99"/>
    <w:rsid w:val="009A667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7344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e">
    <w:name w:val="Normal (Web)"/>
    <w:basedOn w:val="a"/>
    <w:uiPriority w:val="99"/>
    <w:rsid w:val="009A667E"/>
    <w:pPr>
      <w:spacing w:before="40" w:line="240" w:lineRule="auto"/>
      <w:ind w:left="40" w:right="40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FontStyle60">
    <w:name w:val="Font Style60"/>
    <w:uiPriority w:val="99"/>
    <w:rsid w:val="009A667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6FB5-70F1-45A0-AECB-7C64DC09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2019-10-11T06:58:00Z</cp:lastPrinted>
  <dcterms:created xsi:type="dcterms:W3CDTF">2020-02-20T20:31:00Z</dcterms:created>
  <dcterms:modified xsi:type="dcterms:W3CDTF">2020-02-20T21:08:00Z</dcterms:modified>
</cp:coreProperties>
</file>